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5F06E1">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Pr="007201D8" w:rsidRDefault="00962426">
      <w:pPr>
        <w:widowControl w:val="0"/>
        <w:ind w:left="1" w:hanging="1"/>
        <w:jc w:val="center"/>
        <w:rPr>
          <w:rFonts w:ascii="Times New Roman" w:hAnsi="Times New Roman" w:cs="Times New Roman"/>
          <w:b/>
          <w:bCs/>
          <w:sz w:val="32"/>
          <w:szCs w:val="32"/>
        </w:rPr>
      </w:pPr>
      <w:r w:rsidRPr="007201D8">
        <w:rPr>
          <w:rFonts w:ascii="Times New Roman" w:hAnsi="Times New Roman" w:cs="Times New Roman"/>
          <w:b/>
          <w:bCs/>
          <w:sz w:val="32"/>
          <w:szCs w:val="32"/>
        </w:rPr>
        <w:t xml:space="preserve">TPL-004-0 </w:t>
      </w:r>
      <w:r w:rsidRPr="007201D8">
        <w:rPr>
          <w:rFonts w:ascii="Times New Roman" w:hAnsi="Times New Roman" w:cs="Times New Roman"/>
          <w:b/>
          <w:bCs/>
          <w:color w:val="003366"/>
          <w:sz w:val="32"/>
          <w:szCs w:val="32"/>
        </w:rPr>
        <w:t xml:space="preserve">— </w:t>
      </w:r>
      <w:r w:rsidRPr="007201D8">
        <w:rPr>
          <w:rFonts w:ascii="Times New Roman" w:hAnsi="Times New Roman" w:cs="Times New Roman"/>
          <w:b/>
          <w:bCs/>
          <w:sz w:val="32"/>
          <w:szCs w:val="32"/>
        </w:rPr>
        <w:t>System Performance Following Extreme Events Resulting in</w:t>
      </w:r>
    </w:p>
    <w:p w:rsidR="00962426" w:rsidRPr="007201D8" w:rsidRDefault="00962426">
      <w:pPr>
        <w:widowControl w:val="0"/>
        <w:ind w:left="1" w:hanging="1"/>
        <w:jc w:val="center"/>
        <w:rPr>
          <w:rFonts w:ascii="Times New Roman" w:hAnsi="Times New Roman" w:cs="Times New Roman"/>
          <w:sz w:val="32"/>
          <w:szCs w:val="32"/>
        </w:rPr>
      </w:pPr>
      <w:r w:rsidRPr="007201D8">
        <w:rPr>
          <w:rFonts w:ascii="Times New Roman" w:hAnsi="Times New Roman" w:cs="Times New Roman"/>
          <w:b/>
          <w:bCs/>
          <w:sz w:val="32"/>
          <w:szCs w:val="32"/>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sidRPr="007201D8">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sidRPr="007201D8">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Pr="007201D8" w:rsidRDefault="00962426">
      <w:pPr>
        <w:widowControl w:val="0"/>
        <w:tabs>
          <w:tab w:val="left" w:pos="120"/>
        </w:tabs>
        <w:spacing w:line="331"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5F06E1" w:rsidRDefault="006D0E34" w:rsidP="006D0E34">
      <w:pPr>
        <w:pStyle w:val="Heading1"/>
        <w:numPr>
          <w:ilvl w:val="0"/>
          <w:numId w:val="0"/>
        </w:numPr>
        <w:rPr>
          <w:rFonts w:ascii="Tahoma" w:hAnsi="Tahoma"/>
          <w:b w:val="0"/>
          <w:color w:val="264B74"/>
          <w:sz w:val="48"/>
          <w:szCs w:val="48"/>
          <w:u w:val="none"/>
          <w14:shadow w14:blurRad="50800" w14:dist="38100" w14:dir="2700000" w14:sx="100000" w14:sy="100000" w14:kx="0" w14:ky="0" w14:algn="tl">
            <w14:srgbClr w14:val="000000">
              <w14:alpha w14:val="60000"/>
            </w14:srgbClr>
          </w14:shadow>
        </w:rPr>
      </w:pPr>
      <w:r w:rsidRPr="005F06E1">
        <w:rPr>
          <w:rFonts w:ascii="Tahoma" w:hAnsi="Tahoma"/>
          <w:b w:val="0"/>
          <w:color w:val="264B74"/>
          <w:sz w:val="48"/>
          <w:szCs w:val="48"/>
          <w:u w:val="none"/>
          <w14:shadow w14:blurRad="50800" w14:dist="38100" w14:dir="2700000" w14:sx="100000" w14:sy="100000" w14:kx="0" w14:ky="0" w14:algn="tl">
            <w14:srgbClr w14:val="000000">
              <w14:alpha w14:val="60000"/>
            </w14:srgbClr>
          </w14:shadow>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962426" w:rsidRDefault="004D429A" w:rsidP="004D429A">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962426" w:rsidRPr="005F06E1" w:rsidRDefault="00962426">
      <w:pPr>
        <w:pStyle w:val="Heading1"/>
        <w:numPr>
          <w:ilvl w:val="0"/>
          <w:numId w:val="0"/>
        </w:numPr>
        <w:rPr>
          <w:rFonts w:ascii="Tahoma" w:hAnsi="Tahoma"/>
          <w:b w:val="0"/>
          <w:color w:val="264B74"/>
          <w:sz w:val="48"/>
          <w:szCs w:val="48"/>
          <w:u w:val="none"/>
          <w14:shadow w14:blurRad="50800" w14:dist="38100" w14:dir="2700000" w14:sx="100000" w14:sy="100000" w14:kx="0" w14:ky="0" w14:algn="tl">
            <w14:srgbClr w14:val="000000">
              <w14:alpha w14:val="60000"/>
            </w14:srgbClr>
          </w14:shadow>
        </w:rPr>
      </w:pPr>
      <w:r w:rsidRPr="005F06E1">
        <w:rPr>
          <w:rFonts w:ascii="Tahoma" w:hAnsi="Tahoma"/>
          <w:b w:val="0"/>
          <w:color w:val="264B74"/>
          <w:sz w:val="48"/>
          <w:szCs w:val="48"/>
          <w:u w:val="none"/>
          <w14:shadow w14:blurRad="50800" w14:dist="38100" w14:dir="2700000" w14:sx="100000" w14:sy="100000" w14:kx="0" w14:ky="0" w14:algn="tl">
            <w14:srgbClr w14:val="000000">
              <w14:alpha w14:val="60000"/>
            </w14:srgbClr>
          </w14:shadow>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Pr="007201D8" w:rsidRDefault="00962426" w:rsidP="007201D8">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TPL-004-0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2/8/2005</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Pr="007201D8" w:rsidRDefault="00962426">
      <w:pPr>
        <w:widowControl w:val="0"/>
        <w:spacing w:line="294"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5F06E1" w:rsidRDefault="00031ADF" w:rsidP="00031ADF">
      <w:pPr>
        <w:pStyle w:val="Heading1"/>
        <w:numPr>
          <w:ilvl w:val="0"/>
          <w:numId w:val="0"/>
        </w:numPr>
        <w:ind w:left="720" w:hanging="720"/>
        <w:rPr>
          <w:rFonts w:ascii="Tahoma" w:hAnsi="Tahoma" w:cs="Tahoma"/>
          <w:b w:val="0"/>
          <w:color w:val="365F91"/>
          <w:sz w:val="32"/>
          <w:szCs w:val="32"/>
          <w:u w:val="none"/>
          <w14:shadow w14:blurRad="50800" w14:dist="38100" w14:dir="2700000" w14:sx="100000" w14:sy="100000" w14:kx="0" w14:ky="0" w14:algn="tl">
            <w14:srgbClr w14:val="000000">
              <w14:alpha w14:val="60000"/>
            </w14:srgbClr>
          </w14:shadow>
        </w:rPr>
      </w:pPr>
      <w:r w:rsidRPr="005F06E1">
        <w:rPr>
          <w:rFonts w:ascii="Tahoma" w:hAnsi="Tahoma" w:cs="Tahoma"/>
          <w:b w:val="0"/>
          <w:color w:val="365F91"/>
          <w:sz w:val="32"/>
          <w:szCs w:val="32"/>
          <w:u w:val="none"/>
          <w14:shadow w14:blurRad="50800" w14:dist="38100" w14:dir="2700000" w14:sx="100000" w14:sy="100000" w14:kx="0" w14:ky="0" w14:algn="tl">
            <w14:srgbClr w14:val="000000">
              <w14:alpha w14:val="60000"/>
            </w14:srgbClr>
          </w14:shadow>
        </w:rPr>
        <w:t>R1 Supporting Evidence and Documentation</w:t>
      </w:r>
    </w:p>
    <w:p w:rsidR="00031ADF" w:rsidRPr="008A12A8" w:rsidRDefault="00031ADF" w:rsidP="00031ADF">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031ADF" w:rsidRPr="008A12A8"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RPr="008A12A8" w:rsidTr="006A6A7E">
        <w:trPr>
          <w:gridAfter w:val="1"/>
          <w:wAfter w:w="1224" w:type="dxa"/>
          <w:trHeight w:val="945"/>
        </w:trPr>
        <w:tc>
          <w:tcPr>
            <w:tcW w:w="1098" w:type="dxa"/>
            <w:tcBorders>
              <w:top w:val="nil"/>
              <w:left w:val="nil"/>
              <w:bottom w:val="nil"/>
              <w:right w:val="nil"/>
            </w:tcBorders>
          </w:tcPr>
          <w:p w:rsidR="00031ADF" w:rsidRPr="008A12A8" w:rsidRDefault="00031ADF" w:rsidP="006A6A7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31ADF" w:rsidRPr="008A12A8" w:rsidRDefault="00031ADF" w:rsidP="006A6A7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031ADF" w:rsidRPr="008A12A8" w:rsidRDefault="00031ADF" w:rsidP="006A6A7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031ADF" w:rsidRPr="008A12A8" w:rsidTr="006A6A7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31ADF" w:rsidRPr="008A12A8" w:rsidTr="006A6A7E">
        <w:tblPrEx>
          <w:tblLook w:val="04A0" w:firstRow="1" w:lastRow="0" w:firstColumn="1" w:lastColumn="0" w:noHBand="0" w:noVBand="1"/>
        </w:tblPrEx>
        <w:tc>
          <w:tcPr>
            <w:tcW w:w="78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Determine if entity has completed an Assessment that studies if its portion of the interconnected transmission system 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Confirm that the Assessment looks at the: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5F06E1" w:rsidRDefault="00031ADF" w:rsidP="00031ADF">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5F06E1">
        <w:rPr>
          <w:rFonts w:ascii="Tahoma" w:hAnsi="Tahoma"/>
          <w:b w:val="0"/>
          <w:color w:val="365F91"/>
          <w:sz w:val="32"/>
          <w:szCs w:val="32"/>
          <w:u w:val="none"/>
          <w14:shadow w14:blurRad="50800" w14:dist="38100" w14:dir="2700000" w14:sx="100000" w14:sy="100000" w14:kx="0" w14:ky="0" w14:algn="tl">
            <w14:srgbClr w14:val="000000">
              <w14:alpha w14:val="60000"/>
            </w14:srgbClr>
          </w14:shadow>
        </w:rPr>
        <w:t>R</w:t>
      </w:r>
      <w:r w:rsidR="00172488" w:rsidRPr="005F06E1">
        <w:rPr>
          <w:rFonts w:ascii="Tahoma" w:hAnsi="Tahoma"/>
          <w:b w:val="0"/>
          <w:color w:val="365F91"/>
          <w:sz w:val="32"/>
          <w:szCs w:val="32"/>
          <w:u w:val="none"/>
          <w14:shadow w14:blurRad="50800" w14:dist="38100" w14:dir="2700000" w14:sx="100000" w14:sy="100000" w14:kx="0" w14:ky="0" w14:algn="tl">
            <w14:srgbClr w14:val="000000">
              <w14:alpha w14:val="60000"/>
            </w14:srgbClr>
          </w14:shadow>
        </w:rPr>
        <w:t>2</w:t>
      </w:r>
      <w:r w:rsidRPr="005F06E1">
        <w:rPr>
          <w:rFonts w:ascii="Tahoma" w:hAnsi="Tahoma"/>
          <w:b w:val="0"/>
          <w:color w:val="365F91"/>
          <w:sz w:val="32"/>
          <w:szCs w:val="32"/>
          <w:u w:val="none"/>
          <w14:shadow w14:blurRad="50800" w14:dist="38100" w14:dir="2700000" w14:sx="100000" w14:sy="100000" w14:kx="0" w14:ky="0" w14:algn="tl">
            <w14:srgbClr w14:val="000000">
              <w14:alpha w14:val="60000"/>
            </w14:srgbClr>
          </w14:shadow>
        </w:rPr>
        <w:t xml:space="preserve"> Supporting Evidence and Documentation</w:t>
      </w:r>
    </w:p>
    <w:p w:rsidR="00031ADF" w:rsidRDefault="00031ADF" w:rsidP="00031AD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31ADF"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Tr="00031ADF">
        <w:trPr>
          <w:gridAfter w:val="1"/>
          <w:wAfter w:w="1224" w:type="dxa"/>
          <w:trHeight w:val="945"/>
        </w:trPr>
        <w:tc>
          <w:tcPr>
            <w:tcW w:w="1098" w:type="dxa"/>
            <w:tcBorders>
              <w:top w:val="nil"/>
              <w:left w:val="nil"/>
              <w:bottom w:val="nil"/>
              <w:right w:val="nil"/>
            </w:tcBorders>
          </w:tcPr>
          <w:p w:rsidR="00031ADF" w:rsidRDefault="00031AD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31ADF" w:rsidRDefault="00031AD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31ADF" w:rsidRDefault="00031AD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31ADF" w:rsidTr="00031ADF">
        <w:tc>
          <w:tcPr>
            <w:tcW w:w="78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 Requirement 2.</w:t>
      </w:r>
    </w:p>
    <w:p w:rsidR="00653DA0" w:rsidRPr="00444965" w:rsidRDefault="00653DA0">
      <w:pPr>
        <w:ind w:left="1080" w:hanging="720"/>
        <w:rPr>
          <w:rFonts w:ascii="Times New Roman" w:hAnsi="Times New Roman" w:cs="Times New Roman"/>
          <w:color w:val="365F91"/>
          <w:sz w:val="24"/>
          <w:szCs w:val="24"/>
        </w:rPr>
      </w:pPr>
    </w:p>
    <w:p w:rsidR="00962426" w:rsidRPr="00444965" w:rsidRDefault="00962426">
      <w:pPr>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Review the evidence provided to determine if documentation has been submitted to the entity’s Regional Reliability Organization/Regional Entity per the Regional Reliability Organization’s/Regional Entity’s submission requirements.</w:t>
      </w:r>
    </w:p>
    <w:p w:rsidR="00962426" w:rsidRDefault="00962426">
      <w:pPr>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4D429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962426" w:rsidRDefault="00962426">
      <w:pPr>
        <w:widowControl w:val="0"/>
        <w:spacing w:line="40" w:lineRule="exact"/>
        <w:rPr>
          <w:rFonts w:ascii="Times New Roman" w:hAnsi="Times New Roman" w:cs="Times New Roman"/>
          <w:sz w:val="24"/>
          <w:szCs w:val="24"/>
        </w:rPr>
      </w:pPr>
    </w:p>
    <w:p w:rsidR="00962426" w:rsidRPr="005F06E1" w:rsidRDefault="00962426" w:rsidP="006D37F8">
      <w:pPr>
        <w:pStyle w:val="Heading1"/>
        <w:numPr>
          <w:ilvl w:val="0"/>
          <w:numId w:val="0"/>
        </w:numPr>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pPr>
      <w:bookmarkStart w:id="1" w:name="RSAW"/>
      <w:bookmarkEnd w:id="1"/>
      <w:r w:rsidRPr="005F06E1">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5F06E1"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r w:rsidRPr="005F06E1">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t>Compliance Findings Summary</w:t>
      </w:r>
      <w:r w:rsidRPr="005F06E1">
        <w:rPr>
          <w:rFonts w:ascii="Tahoma" w:hAnsi="Tahoma"/>
          <w:b w:val="0"/>
          <w:bCs w:val="0"/>
          <w:color w:val="264B74"/>
          <w:sz w:val="20"/>
          <w:szCs w:val="20"/>
          <w:u w:val="none"/>
          <w14:shadow w14:blurRad="50800" w14:dist="38100" w14:dir="2700000" w14:sx="100000" w14:sy="100000" w14:kx="0" w14:ky="0" w14:algn="tl">
            <w14:srgbClr w14:val="000000">
              <w14:alpha w14:val="60000"/>
            </w14:srgbClr>
          </w14:shadow>
        </w:rPr>
        <w:t xml:space="preserve"> (to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031ADF" w:rsidTr="00031ADF">
        <w:tc>
          <w:tcPr>
            <w:tcW w:w="692"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ADF" w:rsidTr="00031AD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r w:rsidR="00031ADF" w:rsidTr="00031ADF">
        <w:tc>
          <w:tcPr>
            <w:tcW w:w="692"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Default="00962426">
      <w:pPr>
        <w:widowControl w:val="0"/>
        <w:tabs>
          <w:tab w:val="left" w:pos="60"/>
        </w:tabs>
        <w:spacing w:line="200" w:lineRule="exact"/>
        <w:rPr>
          <w:rFonts w:ascii="Times New Roman" w:hAnsi="Times New Roman" w:cs="Times New Roman"/>
          <w:b/>
          <w:sz w:val="24"/>
          <w:szCs w:val="24"/>
        </w:rPr>
      </w:pPr>
      <w:r>
        <w:rPr>
          <w:rFonts w:ascii="Times New Roman" w:hAnsi="Times New Roman" w:cs="Times New Roman"/>
          <w:b/>
          <w:sz w:val="24"/>
          <w:szCs w:val="24"/>
        </w:rPr>
        <w:t>Order 693</w:t>
      </w:r>
    </w:p>
    <w:p w:rsidR="00962426" w:rsidRDefault="00962426">
      <w:pPr>
        <w:widowControl w:val="0"/>
        <w:tabs>
          <w:tab w:val="left" w:pos="60"/>
        </w:tabs>
        <w:spacing w:line="200" w:lineRule="exact"/>
        <w:rPr>
          <w:rFonts w:ascii="Times New Roman" w:hAnsi="Times New Roman" w:cs="Times New Roman"/>
          <w:b/>
          <w:sz w:val="24"/>
          <w:szCs w:val="24"/>
        </w:rPr>
      </w:pPr>
    </w:p>
    <w:p w:rsidR="00962426" w:rsidRDefault="00962426">
      <w:pPr>
        <w:pStyle w:val="FERCparanumber"/>
        <w:numPr>
          <w:ilvl w:val="0"/>
          <w:numId w:val="0"/>
        </w:numPr>
        <w:rPr>
          <w:sz w:val="24"/>
          <w:szCs w:val="24"/>
        </w:rPr>
      </w:pPr>
      <w:r>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Pr>
          <w:sz w:val="24"/>
          <w:szCs w:val="24"/>
          <w:u w:val="single"/>
        </w:rPr>
        <w:t>i.e.</w:t>
      </w:r>
      <w:r>
        <w:rPr>
          <w:sz w:val="24"/>
          <w:szCs w:val="24"/>
        </w:rPr>
        <w:t>, extreme events resulting in loss of two or more elements or cascading) for the near-term (five-year) planning horizon.</w:t>
      </w:r>
    </w:p>
    <w:p w:rsidR="00962426" w:rsidRDefault="00962426">
      <w:pPr>
        <w:pStyle w:val="FERCparanumber"/>
        <w:numPr>
          <w:ilvl w:val="0"/>
          <w:numId w:val="0"/>
        </w:numPr>
        <w:rPr>
          <w:sz w:val="24"/>
          <w:szCs w:val="24"/>
        </w:rPr>
      </w:pPr>
      <w:r>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Default="00962426">
      <w:pPr>
        <w:pStyle w:val="FERCparanumber"/>
        <w:numPr>
          <w:ilvl w:val="0"/>
          <w:numId w:val="0"/>
        </w:numPr>
        <w:rPr>
          <w:sz w:val="24"/>
          <w:szCs w:val="24"/>
        </w:rPr>
      </w:pPr>
      <w:r>
        <w:rPr>
          <w:sz w:val="24"/>
          <w:szCs w:val="24"/>
        </w:rPr>
        <w:t xml:space="preserve">P 1831.  The Commission approves proposed Reliability Standard TPL-004-0 as mandatory and enforceable.… </w:t>
      </w:r>
    </w:p>
    <w:p w:rsidR="00962426" w:rsidRDefault="00962426">
      <w:pPr>
        <w:pStyle w:val="FERCparanumber"/>
        <w:numPr>
          <w:ilvl w:val="0"/>
          <w:numId w:val="0"/>
        </w:numPr>
        <w:rPr>
          <w:sz w:val="24"/>
          <w:szCs w:val="24"/>
        </w:rPr>
      </w:pPr>
      <w:r>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Default="00962426">
      <w:pPr>
        <w:pStyle w:val="FERCparanumber"/>
        <w:numPr>
          <w:ilvl w:val="0"/>
          <w:numId w:val="0"/>
        </w:numPr>
        <w:rPr>
          <w:sz w:val="24"/>
          <w:szCs w:val="24"/>
        </w:rPr>
      </w:pPr>
      <w:r>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Default="00962426">
      <w:pPr>
        <w:pStyle w:val="FERCparanumber"/>
        <w:numPr>
          <w:ilvl w:val="0"/>
          <w:numId w:val="0"/>
        </w:numPr>
      </w:pPr>
      <w:r>
        <w:t xml:space="preserve">P 1836.  Accordingly, the Commission approves Reliability Standard TPL-004-0 as mandatory and enforceable…. </w:t>
      </w:r>
    </w:p>
    <w:p w:rsidR="00653DA0" w:rsidRDefault="00653DA0">
      <w:pPr>
        <w:pStyle w:val="FERCparanumber"/>
        <w:numPr>
          <w:ilvl w:val="0"/>
          <w:numId w:val="0"/>
        </w:numPr>
      </w:pPr>
    </w:p>
    <w:p w:rsidR="00653DA0" w:rsidRPr="007201D8" w:rsidRDefault="00653DA0" w:rsidP="00653DA0">
      <w:pPr>
        <w:rPr>
          <w:rFonts w:ascii="Times New Roman" w:hAnsi="Times New Roman" w:cs="Times New Roman"/>
          <w:b/>
          <w:sz w:val="28"/>
          <w:szCs w:val="28"/>
        </w:rPr>
      </w:pPr>
      <w:r w:rsidRPr="007201D8">
        <w:rPr>
          <w:rFonts w:ascii="Times New Roman" w:hAnsi="Times New Roman" w:cs="Times New Roman"/>
          <w:b/>
          <w:sz w:val="28"/>
          <w:szCs w:val="28"/>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653DA0" w:rsidRPr="00B2607F" w:rsidTr="00031ADF">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4D429A" w:rsidP="00653DA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031ADF">
        <w:tc>
          <w:tcPr>
            <w:tcW w:w="1016" w:type="dxa"/>
          </w:tcPr>
          <w:p w:rsidR="00653DA0" w:rsidRPr="00B2607F" w:rsidRDefault="00031ADF"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4D429A">
              <w:rPr>
                <w:rFonts w:ascii="Times New Roman" w:hAnsi="Times New Roman" w:cs="Times New Roman"/>
                <w:sz w:val="24"/>
                <w:szCs w:val="24"/>
              </w:rPr>
              <w:t>.</w:t>
            </w:r>
          </w:p>
        </w:tc>
      </w:tr>
      <w:tr w:rsidR="004D429A" w:rsidTr="004D429A">
        <w:tc>
          <w:tcPr>
            <w:tcW w:w="1016" w:type="dxa"/>
            <w:tcBorders>
              <w:top w:val="single" w:sz="4" w:space="0" w:color="000000"/>
              <w:left w:val="single" w:sz="4" w:space="0" w:color="000000"/>
              <w:bottom w:val="single" w:sz="4" w:space="0" w:color="000000"/>
              <w:right w:val="single" w:sz="4" w:space="0" w:color="000000"/>
            </w:tcBorders>
          </w:tcPr>
          <w:p w:rsidR="004D429A" w:rsidRDefault="004D429A" w:rsidP="00CF212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653DA0" w:rsidRPr="00B2607F" w:rsidTr="00031ADF">
        <w:tc>
          <w:tcPr>
            <w:tcW w:w="1016" w:type="dxa"/>
          </w:tcPr>
          <w:p w:rsidR="00653DA0" w:rsidRPr="00B2607F" w:rsidRDefault="007201D8" w:rsidP="00653DA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Default="00653DA0">
      <w:pPr>
        <w:pStyle w:val="FERCparanumber"/>
        <w:numPr>
          <w:ilvl w:val="0"/>
          <w:numId w:val="0"/>
        </w:numPr>
      </w:pPr>
    </w:p>
    <w:p w:rsidR="00653DA0" w:rsidRDefault="00653DA0">
      <w:pPr>
        <w:pStyle w:val="FERCparanumber"/>
        <w:numPr>
          <w:ilvl w:val="0"/>
          <w:numId w:val="0"/>
        </w:numPr>
      </w:pPr>
    </w:p>
    <w:sectPr w:rsidR="00653DA0">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191" w:rsidRDefault="00DD2191">
      <w:r>
        <w:separator/>
      </w:r>
    </w:p>
  </w:endnote>
  <w:endnote w:type="continuationSeparator" w:id="0">
    <w:p w:rsidR="00DD2191" w:rsidRDefault="00DD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40" w:rsidRDefault="00E90B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653DA0" w:rsidRDefault="00653DA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777C4F">
      <w:rPr>
        <w:rFonts w:ascii="Times New Roman" w:hAnsi="Times New Roman"/>
        <w:sz w:val="18"/>
        <w:szCs w:val="18"/>
      </w:rPr>
      <w:t>RSAW_TPL-004-0_2011</w:t>
    </w:r>
    <w:r>
      <w:rPr>
        <w:rFonts w:ascii="Times New Roman" w:hAnsi="Times New Roman"/>
        <w:sz w:val="18"/>
        <w:szCs w:val="18"/>
      </w:rPr>
      <w:t>_v1</w:t>
    </w:r>
    <w:r w:rsidR="007201D8">
      <w:rPr>
        <w:rFonts w:ascii="Times New Roman" w:hAnsi="Times New Roman"/>
        <w:sz w:val="18"/>
        <w:szCs w:val="18"/>
      </w:rPr>
      <w:t>.1</w:t>
    </w:r>
  </w:p>
  <w:p w:rsidR="00653DA0" w:rsidRDefault="00653D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201D8">
      <w:rPr>
        <w:rFonts w:ascii="Times New Roman" w:hAnsi="Times New Roman" w:cs="Times New Roman"/>
        <w:color w:val="000000"/>
        <w:sz w:val="18"/>
        <w:szCs w:val="18"/>
      </w:rPr>
      <w:t>September</w:t>
    </w:r>
    <w:r w:rsidR="00777C4F">
      <w:rPr>
        <w:rFonts w:ascii="Times New Roman" w:hAnsi="Times New Roman" w:cs="Times New Roman"/>
        <w:color w:val="000000"/>
        <w:sz w:val="18"/>
        <w:szCs w:val="18"/>
      </w:rPr>
      <w:t xml:space="preserve"> 2011</w:t>
    </w:r>
  </w:p>
  <w:p w:rsidR="00653DA0" w:rsidRDefault="00653DA0">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F5497E">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40" w:rsidRDefault="00E90B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191" w:rsidRDefault="00DD2191">
      <w:r>
        <w:separator/>
      </w:r>
    </w:p>
  </w:footnote>
  <w:footnote w:type="continuationSeparator" w:id="0">
    <w:p w:rsidR="00DD2191" w:rsidRDefault="00DD2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40" w:rsidRDefault="00E90B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240" w:lineRule="exact"/>
      <w:rPr>
        <w:rFonts w:cs="Times New Roman"/>
      </w:rPr>
    </w:pPr>
  </w:p>
  <w:p w:rsidR="00653DA0" w:rsidRDefault="00653DA0" w:rsidP="00777C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653DA0" w:rsidRDefault="00E90B40" w:rsidP="00777C4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653DA0" w:rsidRDefault="005F06E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53DA0" w:rsidRDefault="00653D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40" w:rsidRDefault="00E90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ED"/>
    <w:rsid w:val="00031ADF"/>
    <w:rsid w:val="000A4F91"/>
    <w:rsid w:val="000C7C01"/>
    <w:rsid w:val="00172488"/>
    <w:rsid w:val="00180BC7"/>
    <w:rsid w:val="001C206A"/>
    <w:rsid w:val="00330F73"/>
    <w:rsid w:val="00444965"/>
    <w:rsid w:val="004D429A"/>
    <w:rsid w:val="00551BCF"/>
    <w:rsid w:val="005F06E1"/>
    <w:rsid w:val="00653DA0"/>
    <w:rsid w:val="006A6A7E"/>
    <w:rsid w:val="006D0E34"/>
    <w:rsid w:val="006D37F8"/>
    <w:rsid w:val="007201D8"/>
    <w:rsid w:val="00777C4F"/>
    <w:rsid w:val="007B6C4B"/>
    <w:rsid w:val="00835323"/>
    <w:rsid w:val="00962426"/>
    <w:rsid w:val="00A176FA"/>
    <w:rsid w:val="00AC11ED"/>
    <w:rsid w:val="00B60290"/>
    <w:rsid w:val="00CF212C"/>
    <w:rsid w:val="00DD2191"/>
    <w:rsid w:val="00E90B40"/>
    <w:rsid w:val="00F54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810803C-3F11-41F1-8D33-A9FE656B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JBody">
    <w:name w:val="J Body"/>
    <w:basedOn w:val="Normal"/>
    <w:link w:val="JBodyChar"/>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Pr>
      <w:rFonts w:cs="Arial"/>
      <w:bCs/>
      <w:iCs/>
      <w:sz w:val="24"/>
      <w:szCs w:val="28"/>
      <w:lang w:val="en-US" w:eastAsia="en-US" w:bidi="ar-SA"/>
    </w:rPr>
  </w:style>
  <w:style w:type="character" w:styleId="PageNumber">
    <w:name w:val="page number"/>
    <w:basedOn w:val="DefaultParagraphFont"/>
  </w:style>
  <w:style w:type="paragraph" w:customStyle="1" w:styleId="FERCparanumber">
    <w:name w:val="FERC paranumber"/>
    <w:basedOn w:val="Normal"/>
    <w:link w:val="FERCparanumberChar1"/>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locked/>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link w:val="FERCparanumber"/>
    <w:locked/>
    <w:rPr>
      <w:sz w:val="26"/>
      <w:szCs w:val="26"/>
      <w:lang w:val="en-US" w:eastAsia="en-US" w:bidi="ar-SA"/>
    </w:rPr>
  </w:style>
  <w:style w:type="character" w:styleId="FootnoteReference">
    <w:name w:val="footnote reference"/>
    <w:aliases w:val="o,fr,o1,fr1,o2,fr2,o3,fr3,Style 13,Style 12,Style 15,Style 17,Style 9,Style 18,(NECG) Footnote Reference,Style 20,Style 7"/>
    <w:rPr>
      <w:rFonts w:ascii="Times New Roman" w:hAnsi="Times New Roman" w:cs="Times New Roman" w:hint="default"/>
      <w:b/>
      <w:bCs w:val="0"/>
      <w:sz w:val="26"/>
      <w:szCs w:val="26"/>
      <w:vertAlign w:val="superscript"/>
    </w:rPr>
  </w:style>
  <w:style w:type="character" w:styleId="Strong">
    <w:name w:val="Strong"/>
    <w:qFormat/>
    <w:rsid w:val="00AC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31860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4554886">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TPL-004-0</Number>
    <Date xmlns="987b8a77-3dc6-4154-9fe1-b1e590735b19">2011-10-16T04:00:00+00:00</Date>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296596-19EF-47B9-9439-D892E56F9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4A257-F029-444C-8216-4FB0D44AB379}">
  <ds:schemaRefs>
    <ds:schemaRef ds:uri="http://schemas.microsoft.com/sharepoint/v3/contenttype/forms"/>
  </ds:schemaRefs>
</ds:datastoreItem>
</file>

<file path=customXml/itemProps3.xml><?xml version="1.0" encoding="utf-8"?>
<ds:datastoreItem xmlns:ds="http://schemas.openxmlformats.org/officeDocument/2006/customXml" ds:itemID="{35E1967B-2EB0-4A0E-ADE4-C12B4F0C6AB0}">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224DB0D3-DA5C-48E1-BA81-F4C290C9BEAD}">
  <ds:schemaRefs>
    <ds:schemaRef ds:uri="http://schemas.microsoft.com/office/2006/metadata/longProperties"/>
  </ds:schemaRefs>
</ds:datastoreItem>
</file>

<file path=customXml/itemProps5.xml><?xml version="1.0" encoding="utf-8"?>
<ds:datastoreItem xmlns:ds="http://schemas.openxmlformats.org/officeDocument/2006/customXml" ds:itemID="{706836B5-B942-41C9-8E6B-4F48B989E3A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System Performance Following Extreme Events Resulting in the Loss of Two or More Bulk Electric System Elements (Category D)</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14310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Extreme Events Resulting in the Loss of Two or More Bulk Electric System Elements (Category D)</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NERCASSETID-406-117</vt:lpwstr>
  </property>
  <property fmtid="{D5CDD505-2E9C-101B-9397-08002B2CF9AE}" pid="3" name="_dlc_DocIdItemGuid">
    <vt:lpwstr>2f705f06-3312-46dc-891e-82a08bb7a48b</vt:lpwstr>
  </property>
  <property fmtid="{D5CDD505-2E9C-101B-9397-08002B2CF9AE}" pid="4" name="_dlc_DocIdUrl">
    <vt:lpwstr>http://www.nerc.com/pa/comp/_layouts/DocIdRedir.aspx?ID=NERCASSETID-406-117, NERCASSETID-406-117</vt:lpwstr>
  </property>
  <property fmtid="{D5CDD505-2E9C-101B-9397-08002B2CF9AE}" pid="5" name="xd_Signature">
    <vt:lpwstr/>
  </property>
  <property fmtid="{D5CDD505-2E9C-101B-9397-08002B2CF9AE}" pid="6" name="Order">
    <vt:lpwstr>11700.0000000000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